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Project Proposal</w:t>
      </w:r>
    </w:p>
    <w:p>
      <w:pPr>
        <w:pStyle w:val="Subtitle"/>
      </w:pPr>
      <w:r>
        <w:t xml:space="preserve">[The name of the project]</w:t>
      </w:r>
    </w:p>
    <w:p>
      <w:pPr>
        <w:spacing w:after="360"/>
      </w:pPr>
      <w:r>
        <w:rPr>
          <w:color w:val="5A2E1F"/>
        </w:rPr>
        <w:t xml:space="preserve">Prepared for </w:t>
      </w:r>
      <w:r>
        <w:rPr>
          <w:b/>
        </w:rPr>
        <w:t xml:space="preserve">[Client or board]</w:t>
      </w:r>
      <w:r>
        <w:rPr>
          <w:color w:val="5A2E1F"/>
        </w:rPr>
        <w:t xml:space="preserve">   by </w:t>
      </w:r>
      <w:r>
        <w:rPr>
          <w:b/>
        </w:rPr>
        <w:t xml:space="preserve">[Your name, company]</w:t>
      </w:r>
      <w:r>
        <w:rPr>
          <w:color w:val="5A2E1F"/>
        </w:rPr>
        <w:t xml:space="preserve">   on </w:t>
      </w:r>
      <w:r>
        <w:rPr>
          <w:b/>
        </w:rPr>
        <w:t xml:space="preserve">[Date]</w:t>
      </w:r>
    </w:p>
    <w:p>
      <w:pPr>
        <w:pStyle w:val="Heading1"/>
      </w:pPr>
      <w:r>
        <w:t xml:space="preserve">Summary</w:t>
      </w:r>
    </w:p>
    <w:p>
      <w:r>
        <w:t xml:space="preserve">In a short paragraph: the problem, what you propose to do about it, what it will cost and what it will bring. Many readers read only this.</w:t>
      </w:r>
    </w:p>
    <w:p>
      <w:pPr>
        <w:pStyle w:val="Heading1"/>
      </w:pPr>
      <w:r>
        <w:t xml:space="preserve">The need</w:t>
      </w:r>
    </w:p>
    <w:p>
      <w:r>
        <w:t xml:space="preserve">Describe the situation now and what it costs to leave it as it is. Use the reader's own figures where you have them.</w:t>
      </w:r>
    </w:p>
    <w:p>
      <w:pPr>
        <w:pStyle w:val="Heading1"/>
      </w:pPr>
      <w:r>
        <w:t xml:space="preserve">What we propose</w:t>
      </w:r>
    </w:p>
    <w:p>
      <w:r>
        <w:t xml:space="preserve">What will be done, and what will not. Name what the reader will have at the end.</w:t>
      </w:r>
    </w:p>
    <w:p>
      <w:pPr>
        <w:numPr>
          <w:ilvl w:val="0"/>
          <w:numId w:val="1"/>
        </w:numPr>
        <w:spacing w:after="40"/>
      </w:pPr>
      <w:r>
        <w:t xml:space="preserve">[A thing that will be delivered]</w:t>
      </w:r>
    </w:p>
    <w:p>
      <w:pPr>
        <w:numPr>
          <w:ilvl w:val="0"/>
          <w:numId w:val="1"/>
        </w:numPr>
        <w:spacing w:after="40"/>
      </w:pPr>
      <w:r>
        <w:t xml:space="preserve">[Another]</w:t>
      </w:r>
    </w:p>
    <w:p>
      <w:pPr>
        <w:numPr>
          <w:ilvl w:val="0"/>
          <w:numId w:val="1"/>
        </w:numPr>
        <w:spacing w:after="160"/>
      </w:pPr>
      <w:r>
        <w:t xml:space="preserve">[Another]</w:t>
      </w:r>
    </w:p>
    <w:p>
      <w:pPr>
        <w:pStyle w:val="Heading1"/>
      </w:pPr>
      <w:r>
        <w:t xml:space="preserve">Plan and timing</w:t>
      </w:r>
    </w:p>
    <w:tbl>
      <w:tblPr>
        <w:tblStyle w:val="TableGrid"/>
        <w:tblW w:w="9026" w:type="dxa"/>
        <w:tblBorders>
          <w:top w:val="single" w:sz="8" w:space="0" w:color="BFBFBF"/>
          <w:left w:val="nil"/>
          <w:bottom w:val="single" w:sz="8" w:space="0" w:color="BFBFBF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2000"/>
        <w:gridCol w:w="5026"/>
        <w:gridCol w:w="2000"/>
      </w:tblGrid>
      <w:tr>
        <w:trPr>
          <w:tblHeader/>
        </w:trPr>
        <w:tc>
          <w:tcPr>
            <w:tcW w:w="2000" w:type="dxa"/>
            <w:shd w:val="clear" w:color="auto" w:fill="C8553D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Stage</w:t>
            </w:r>
          </w:p>
        </w:tc>
        <w:tc>
          <w:tcPr>
            <w:tcW w:w="5026" w:type="dxa"/>
            <w:shd w:val="clear" w:color="auto" w:fill="C8553D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What happens</w:t>
            </w:r>
          </w:p>
        </w:tc>
        <w:tc>
          <w:tcPr>
            <w:tcW w:w="2000" w:type="dxa"/>
            <w:shd w:val="clear" w:color="auto" w:fill="C8553D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When</w:t>
            </w:r>
          </w:p>
        </w:tc>
      </w:tr>
      <w:tr>
        <w:tc>
          <w:tcPr>
            <w:tcW w:w="2000" w:type="dxa"/>
            <w:vAlign w:val="center"/>
          </w:tcPr>
          <w:p>
            <w:pPr>
              <w:pStyle w:val="NoSpacing"/>
            </w:pPr>
            <w:r>
              <w:t xml:space="preserve">1. Discovery</w:t>
            </w:r>
          </w:p>
        </w:tc>
        <w:tc>
          <w:tcPr>
            <w:tcW w:w="5026" w:type="dxa"/>
            <w:vAlign w:val="center"/>
          </w:tcPr>
          <w:p>
            <w:pPr>
              <w:pStyle w:val="NoSpacing"/>
            </w:pPr>
            <w:r>
              <w:t xml:space="preserve">Interviews, a review of what exists, the brief agreed</w:t>
            </w:r>
          </w:p>
        </w:tc>
        <w:tc>
          <w:tcPr>
            <w:tcW w:w="2000" w:type="dxa"/>
            <w:vAlign w:val="center"/>
          </w:tcPr>
          <w:p>
            <w:pPr>
              <w:pStyle w:val="NoSpacing"/>
            </w:pPr>
            <w:r>
              <w:t xml:space="preserve">[Weeks 1 to 2]</w:t>
            </w:r>
          </w:p>
        </w:tc>
      </w:tr>
      <w:tr>
        <w:tc>
          <w:tcPr>
            <w:tcW w:w="2000" w:type="dxa"/>
            <w:vAlign w:val="center"/>
          </w:tcPr>
          <w:p>
            <w:pPr>
              <w:pStyle w:val="NoSpacing"/>
            </w:pPr>
            <w:r>
              <w:t xml:space="preserve">2. Build</w:t>
            </w:r>
          </w:p>
        </w:tc>
        <w:tc>
          <w:tcPr>
            <w:tcW w:w="5026" w:type="dxa"/>
            <w:vAlign w:val="center"/>
          </w:tcPr>
          <w:p>
            <w:pPr>
              <w:pStyle w:val="NoSpacing"/>
            </w:pPr>
            <w:r>
              <w:t xml:space="preserve">The work itself, shown every fortnight</w:t>
            </w:r>
          </w:p>
        </w:tc>
        <w:tc>
          <w:tcPr>
            <w:tcW w:w="2000" w:type="dxa"/>
            <w:vAlign w:val="center"/>
          </w:tcPr>
          <w:p>
            <w:pPr>
              <w:pStyle w:val="NoSpacing"/>
            </w:pPr>
            <w:r>
              <w:t xml:space="preserve">[Weeks 3 to 8]</w:t>
            </w:r>
          </w:p>
        </w:tc>
      </w:tr>
      <w:tr>
        <w:tc>
          <w:tcPr>
            <w:tcW w:w="2000" w:type="dxa"/>
            <w:vAlign w:val="center"/>
          </w:tcPr>
          <w:p>
            <w:pPr>
              <w:pStyle w:val="NoSpacing"/>
            </w:pPr>
            <w:r>
              <w:t xml:space="preserve">3. Hand over</w:t>
            </w:r>
          </w:p>
        </w:tc>
        <w:tc>
          <w:tcPr>
            <w:tcW w:w="5026" w:type="dxa"/>
            <w:vAlign w:val="center"/>
          </w:tcPr>
          <w:p>
            <w:pPr>
              <w:pStyle w:val="NoSpacing"/>
            </w:pPr>
            <w:r>
              <w:t xml:space="preserve">Testing, training and the handover</w:t>
            </w:r>
          </w:p>
        </w:tc>
        <w:tc>
          <w:tcPr>
            <w:tcW w:w="2000" w:type="dxa"/>
            <w:vAlign w:val="center"/>
          </w:tcPr>
          <w:p>
            <w:pPr>
              <w:pStyle w:val="NoSpacing"/>
            </w:pPr>
            <w:r>
              <w:t xml:space="preserve">[Weeks 9 to 10]</w:t>
            </w:r>
          </w:p>
        </w:tc>
      </w:tr>
    </w:tbl>
    <w:p>
      <w:pPr>
        <w:pStyle w:val="Heading1"/>
        <w:spacing w:before="360"/>
      </w:pPr>
      <w:r>
        <w:t xml:space="preserve">Cost</w:t>
      </w:r>
    </w:p>
    <w:tbl>
      <w:tblPr>
        <w:tblStyle w:val="TableGrid"/>
        <w:tblW w:w="9026" w:type="dxa"/>
        <w:tblBorders>
          <w:top w:val="single" w:sz="8" w:space="0" w:color="BFBFBF"/>
          <w:left w:val="nil"/>
          <w:bottom w:val="single" w:sz="8" w:space="0" w:color="BFBFBF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7026"/>
        <w:gridCol w:w="2000"/>
      </w:tblGrid>
      <w:tr>
        <w:trPr>
          <w:tblHeader/>
        </w:trPr>
        <w:tc>
          <w:tcPr>
            <w:tcW w:w="7026" w:type="dxa"/>
            <w:shd w:val="clear" w:color="auto" w:fill="C8553D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000" w:type="dxa"/>
            <w:shd w:val="clear" w:color="auto" w:fill="C8553D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7026" w:type="dxa"/>
            <w:vAlign w:val="center"/>
          </w:tcPr>
          <w:p>
            <w:pPr>
              <w:pStyle w:val="NoSpacing"/>
            </w:pPr>
            <w:r>
              <w:t xml:space="preserve">[Stage or item]</w:t>
            </w:r>
          </w:p>
        </w:tc>
        <w:tc>
          <w:tcPr>
            <w:tcW w:w="2000" w:type="dxa"/>
            <w:vAlign w:val="center"/>
          </w:tcPr>
          <w:p>
            <w:pPr>
              <w:pStyle w:val="NoSpacing"/>
              <w:jc w:val="right"/>
            </w:pPr>
            <w:r>
              <w:t xml:space="preserve">£0,000</w:t>
            </w:r>
          </w:p>
        </w:tc>
      </w:tr>
      <w:tr>
        <w:tc>
          <w:tcPr>
            <w:tcW w:w="7026" w:type="dxa"/>
            <w:vAlign w:val="center"/>
          </w:tcPr>
          <w:p>
            <w:pPr>
              <w:pStyle w:val="NoSpacing"/>
            </w:pPr>
            <w:r>
              <w:t xml:space="preserve">[Stage or item]</w:t>
            </w:r>
          </w:p>
        </w:tc>
        <w:tc>
          <w:tcPr>
            <w:tcW w:w="2000" w:type="dxa"/>
            <w:vAlign w:val="center"/>
          </w:tcPr>
          <w:p>
            <w:pPr>
              <w:pStyle w:val="NoSpacing"/>
              <w:jc w:val="right"/>
            </w:pPr>
            <w:r>
              <w:t xml:space="preserve">£0,000</w:t>
            </w:r>
          </w:p>
        </w:tc>
      </w:tr>
      <w:tr>
        <w:tc>
          <w:tcPr>
            <w:tcW w:w="7026" w:type="dxa"/>
            <w:vAlign w:val="center"/>
          </w:tcPr>
          <w:p>
            <w:pPr>
              <w:pStyle w:val="NoSpacing"/>
            </w:pPr>
            <w:r>
              <w:rPr>
                <w:b/>
              </w:rPr>
              <w:t xml:space="preserve">Total</w:t>
            </w:r>
          </w:p>
        </w:tc>
        <w:tc>
          <w:tcPr>
            <w:tcW w:w="2000" w:type="dxa"/>
            <w:vAlign w:val="center"/>
          </w:tcPr>
          <w:p>
            <w:pPr>
              <w:pStyle w:val="NoSpacing"/>
              <w:jc w:val="right"/>
            </w:pPr>
            <w:r>
              <w:rPr>
                <w:b/>
              </w:rPr>
              <w:t xml:space="preserve">£0,000</w:t>
            </w:r>
          </w:p>
        </w:tc>
      </w:tr>
    </w:tbl>
    <w:p>
      <w:pPr>
        <w:pStyle w:val="Heading1"/>
        <w:spacing w:before="360"/>
      </w:pPr>
      <w:r>
        <w:t xml:space="preserve">Why us</w:t>
      </w:r>
    </w:p>
    <w:p>
      <w:r>
        <w:t xml:space="preserve">Two or three reasons, each backed by something the reader can check: a past project, a reference, a qualification.</w:t>
      </w:r>
    </w:p>
    <w:p>
      <w:pPr>
        <w:pStyle w:val="Heading1"/>
      </w:pPr>
      <w:r>
        <w:t xml:space="preserve">Next steps</w:t>
      </w:r>
    </w:p>
    <w:p>
      <w:r>
        <w:t xml:space="preserve">Say what you need from the reader to begin, and by when.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GB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  <w:uiPriority w:val="0"/>
    <w:qFormat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color w:val="5A2E1F" w:themeColor="text2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color w:val="C8553D" w:themeColor="accen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Theme="majorHAnsi" w:hAnsiTheme="majorHAnsi" w:eastAsiaTheme="majorEastAsia" w:cstheme="majorBidi"/>
      <w:color w:val="C8553D" w:themeColor="accent1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5A2E1F" w:themeColor="text2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C8553D" w:themeColor="accent1"/>
      <w:sz w:val="24"/>
      <w:szCs w:val="24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</w:pPr>
    <w:rPr>
      <w:i/>
      <w:color w:val="C8553D" w:themeColor="accent1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i/>
      <w:color w:val="5A2E1F" w:themeColor="text2"/>
      <w:sz w:val="18"/>
      <w:szCs w:val="18"/>
    </w:rPr>
  </w:style>
  <w:style w:type="paragraph" w:styleId="Header">
    <w:name w:val="header"/>
    <w:basedOn w:val="Normal"/>
    <w:pPr>
      <w:spacing w:after="0" w:line="240" w:lineRule="auto"/>
    </w:pPr>
    <w:rPr>
      <w:sz w:val="18"/>
    </w:rPr>
  </w:style>
  <w:style w:type="paragraph" w:styleId="Footer">
    <w:name w:val="footer"/>
    <w:basedOn w:val="Normal"/>
    <w:pPr>
      <w:spacing w:after="0" w:line="240" w:lineRule="auto"/>
    </w:pPr>
    <w:rPr>
      <w:color w:val="5A2E1F" w:themeColor="text2"/>
      <w:sz w:val="18"/>
      <w:szCs w:val="18"/>
    </w:rPr>
  </w:style>
  <w:style w:type="table" w:styleId="TableGrid">
    <w:name w:val="Table Grid"/>
    <w:uiPriority w:val="39"/>
    <w:qFormat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Ember">
  <a:themeElements>
    <a:clrScheme name="Ember">
      <a:dk1>
        <a:srgbClr val="2B2522"/>
      </a:dk1>
      <a:lt1>
        <a:srgbClr val="FFFDF9"/>
      </a:lt1>
      <a:dk2>
        <a:srgbClr val="5A2E1F"/>
      </a:dk2>
      <a:lt2>
        <a:srgbClr val="F6EDE4"/>
      </a:lt2>
      <a:accent1>
        <a:srgbClr val="C8553D"/>
      </a:accent1>
      <a:accent2>
        <a:srgbClr val="E58F3A"/>
      </a:accent2>
      <a:accent3>
        <a:srgbClr val="D9B44A"/>
      </a:accent3>
      <a:accent4>
        <a:srgbClr val="7A9E7E"/>
      </a:accent4>
      <a:accent5>
        <a:srgbClr val="5B7DB1"/>
      </a:accent5>
      <a:accent6>
        <a:srgbClr val="8C5E8F"/>
      </a:accent6>
      <a:hlink>
        <a:srgbClr val="B5452F"/>
      </a:hlink>
      <a:folHlink>
        <a:srgbClr val="8C5E8F"/>
      </a:folHlink>
    </a:clrScheme>
    <a:fontScheme name="Ember">
      <a:majorFont>
        <a:latin typeface="Georgia"/>
        <a:ea typeface=""/>
        <a:cs typeface=""/>
      </a:majorFont>
      <a:minorFont>
        <a:latin typeface="Segoe UI"/>
        <a:ea typeface=""/>
        <a:cs typeface=""/>
      </a:minorFont>
    </a:fontScheme>
    <a:fmtScheme name="Lifted">
      <a:fillStyleLst>
        <a:solidFill>
          <a:schemeClr val="phClr"/>
        </a:solidFill>
        <a:gradFill rotWithShape="1">
          <a:gsLst>
            <a:gs pos="0">
              <a:schemeClr val="phClr">
                <a:tint val="72000"/>
                <a:satMod val="110000"/>
              </a:schemeClr>
            </a:gs>
            <a:gs pos="100000">
              <a:schemeClr val="phClr">
                <a:shade val="9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2000"/>
              </a:schemeClr>
            </a:gs>
            <a:gs pos="100000">
              <a:schemeClr val="phClr">
                <a:shade val="68000"/>
                <a:satMod val="12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8575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>
            <a:outerShdw blurRad="50800" dist="25400" dir="5400000" algn="ctr" rotWithShape="0">
              <a:srgbClr val="000000">
                <a:alpha val="30000"/>
              </a:srgbClr>
            </a:outerShdw>
          </a:effectLst>
        </a:effectStyle>
        <a:effectStyle>
          <a:effectLst>
            <a:outerShdw blurRad="76200" dist="38100" dir="5400000" algn="ctr" rotWithShape="0">
              <a:srgbClr val="000000">
                <a:alpha val="42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